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DEDD" w14:textId="77777777" w:rsidR="00CB11D3" w:rsidRDefault="00CB11D3"/>
    <w:p w14:paraId="627B93B5" w14:textId="668FE41F" w:rsidR="00CB11D3" w:rsidRPr="00F31524" w:rsidRDefault="00000000">
      <w:pPr>
        <w:rPr>
          <w:lang w:val="pl-PL"/>
        </w:rPr>
      </w:pPr>
      <w:r w:rsidRPr="00F31524">
        <w:rPr>
          <w:lang w:val="pl-PL"/>
        </w:rPr>
        <w:t>Zakład Gospodarki Komunaln</w:t>
      </w:r>
      <w:r w:rsidR="00F31524">
        <w:rPr>
          <w:lang w:val="pl-PL"/>
        </w:rPr>
        <w:t>ej</w:t>
      </w:r>
      <w:r w:rsidRPr="00F31524">
        <w:rPr>
          <w:lang w:val="pl-PL"/>
        </w:rPr>
        <w:t xml:space="preserve"> Sp. z o. o. </w:t>
      </w:r>
    </w:p>
    <w:p w14:paraId="1C2684A3" w14:textId="77777777" w:rsidR="00CB11D3" w:rsidRPr="00F31524" w:rsidRDefault="00CB11D3">
      <w:pPr>
        <w:rPr>
          <w:lang w:val="pl-PL"/>
        </w:rPr>
      </w:pPr>
    </w:p>
    <w:p w14:paraId="0CBB23FB" w14:textId="41FADAE9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Załącznik nr </w:t>
      </w:r>
      <w:r w:rsidR="00BE4BD5">
        <w:rPr>
          <w:lang w:val="pl-PL"/>
        </w:rPr>
        <w:t>7</w:t>
      </w:r>
      <w:r w:rsidRPr="00F31524">
        <w:rPr>
          <w:lang w:val="pl-PL"/>
        </w:rPr>
        <w:t xml:space="preserve"> do SWZ </w:t>
      </w:r>
    </w:p>
    <w:p w14:paraId="02600198" w14:textId="77777777" w:rsidR="00CB11D3" w:rsidRPr="00F31524" w:rsidRDefault="00CB11D3">
      <w:pPr>
        <w:rPr>
          <w:lang w:val="pl-PL"/>
        </w:rPr>
      </w:pPr>
    </w:p>
    <w:p w14:paraId="3829DA8B" w14:textId="392F6083" w:rsidR="00CB11D3" w:rsidRPr="00F31524" w:rsidRDefault="00000000" w:rsidP="00F31524">
      <w:pPr>
        <w:jc w:val="center"/>
        <w:rPr>
          <w:lang w:val="pl-PL"/>
        </w:rPr>
      </w:pPr>
      <w:r w:rsidRPr="00F31524">
        <w:rPr>
          <w:lang w:val="pl-PL"/>
        </w:rPr>
        <w:t>OPIS PRZEDMIOTU ZAMÓWIENIA</w:t>
      </w:r>
    </w:p>
    <w:p w14:paraId="38B1D46D" w14:textId="699666F7" w:rsidR="00CB11D3" w:rsidRPr="00F31524" w:rsidRDefault="00000000" w:rsidP="00F31524">
      <w:pPr>
        <w:jc w:val="center"/>
        <w:rPr>
          <w:lang w:val="pl-PL"/>
        </w:rPr>
      </w:pPr>
      <w:r w:rsidRPr="00F31524">
        <w:rPr>
          <w:lang w:val="pl-PL"/>
        </w:rPr>
        <w:t>ZAKUP I DOSTAWA UŻYWANEJ DWUKOMOROWEJ ŚMIECIARKI</w:t>
      </w:r>
    </w:p>
    <w:p w14:paraId="192F207C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DO ZBIÓRKI ODPADÓW KOMUNALNYCH ZMIESZANYCH I SELEKTYWNIE ZBIERANYCH </w:t>
      </w:r>
    </w:p>
    <w:p w14:paraId="3FFDE214" w14:textId="77777777" w:rsidR="00CB11D3" w:rsidRPr="00F31524" w:rsidRDefault="00CB11D3">
      <w:pPr>
        <w:rPr>
          <w:lang w:val="pl-PL"/>
        </w:rPr>
      </w:pPr>
    </w:p>
    <w:p w14:paraId="09D6F97A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>I</w:t>
      </w:r>
      <w:r w:rsidRPr="004E579C">
        <w:rPr>
          <w:b/>
          <w:bCs/>
          <w:lang w:val="pl-PL"/>
        </w:rPr>
        <w:t>. Podwozie:</w:t>
      </w:r>
      <w:r w:rsidRPr="00F31524">
        <w:rPr>
          <w:lang w:val="pl-PL"/>
        </w:rPr>
        <w:t xml:space="preserve"> </w:t>
      </w:r>
    </w:p>
    <w:p w14:paraId="172D797E" w14:textId="25C99D8C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Podwozie używane, </w:t>
      </w:r>
      <w:r w:rsidR="00F31524" w:rsidRPr="00F31524">
        <w:rPr>
          <w:lang w:val="pl-PL"/>
        </w:rPr>
        <w:t xml:space="preserve">data pierwszej rejestracji </w:t>
      </w:r>
      <w:r w:rsidRPr="00F31524">
        <w:rPr>
          <w:lang w:val="pl-PL"/>
        </w:rPr>
        <w:t>min w 20</w:t>
      </w:r>
      <w:r w:rsidR="00F31524" w:rsidRPr="00F31524">
        <w:rPr>
          <w:lang w:val="pl-PL"/>
        </w:rPr>
        <w:t>20</w:t>
      </w:r>
      <w:r w:rsidRPr="00F31524">
        <w:rPr>
          <w:lang w:val="pl-PL"/>
        </w:rPr>
        <w:t xml:space="preserve"> r.; </w:t>
      </w:r>
    </w:p>
    <w:p w14:paraId="469A84C8" w14:textId="0455659B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Przebieg maksymalny </w:t>
      </w:r>
      <w:r w:rsidR="00F31524" w:rsidRPr="00F31524">
        <w:rPr>
          <w:lang w:val="pl-PL"/>
        </w:rPr>
        <w:t>1</w:t>
      </w:r>
      <w:r w:rsidRPr="00F31524">
        <w:rPr>
          <w:lang w:val="pl-PL"/>
        </w:rPr>
        <w:t xml:space="preserve">00 000 km.; </w:t>
      </w:r>
    </w:p>
    <w:p w14:paraId="30E4B45D" w14:textId="5657B1C5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Podwozie 3 osiowe (2-ga oś napędowa, 3-cia oś skrętna hydrauliczna); </w:t>
      </w:r>
    </w:p>
    <w:p w14:paraId="50E8271B" w14:textId="3E3DAB6A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Dopuszczalna Masa Całkowita pojazdu – min 26 000 kg.; </w:t>
      </w:r>
    </w:p>
    <w:p w14:paraId="7531100C" w14:textId="7E4BF664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Rozdział napędu na poszczególne osie – 6x2; </w:t>
      </w:r>
    </w:p>
    <w:p w14:paraId="76418302" w14:textId="70362D7D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Oś napędowa wyposażona w koła bliźniacze; </w:t>
      </w:r>
    </w:p>
    <w:p w14:paraId="4A4BDE3C" w14:textId="033B5027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Zawieszenie pneumatyczne, regulowane; </w:t>
      </w:r>
    </w:p>
    <w:p w14:paraId="5B997D09" w14:textId="4FACE7F2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Silnik wysokoprężny o mocy min </w:t>
      </w:r>
      <w:r w:rsidR="00F31524" w:rsidRPr="00F31524">
        <w:rPr>
          <w:lang w:val="pl-PL"/>
        </w:rPr>
        <w:t xml:space="preserve">260 – max </w:t>
      </w:r>
      <w:r w:rsidRPr="00F31524">
        <w:rPr>
          <w:lang w:val="pl-PL"/>
        </w:rPr>
        <w:t xml:space="preserve">300 kW; </w:t>
      </w:r>
    </w:p>
    <w:p w14:paraId="2A5EA8EC" w14:textId="40E0DEA7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Norma emisji spalin min EURO </w:t>
      </w:r>
      <w:r w:rsidR="00F31524" w:rsidRPr="00F31524">
        <w:rPr>
          <w:lang w:val="pl-PL"/>
        </w:rPr>
        <w:t>6</w:t>
      </w:r>
      <w:r w:rsidRPr="00F31524">
        <w:rPr>
          <w:lang w:val="pl-PL"/>
        </w:rPr>
        <w:t xml:space="preserve">; </w:t>
      </w:r>
    </w:p>
    <w:p w14:paraId="0C8339BC" w14:textId="4BAF3C4D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Skrzynia biegów – automatyczna; </w:t>
      </w:r>
    </w:p>
    <w:p w14:paraId="214A862A" w14:textId="17BAB966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Przystawka odbioru mocy spełniająca wymogi zabudowy; </w:t>
      </w:r>
    </w:p>
    <w:p w14:paraId="4309BAD2" w14:textId="4382C9D8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Stan ogumienia min </w:t>
      </w:r>
      <w:r w:rsidR="00F31524" w:rsidRPr="00F31524">
        <w:rPr>
          <w:lang w:val="pl-PL"/>
        </w:rPr>
        <w:t>3</w:t>
      </w:r>
      <w:r w:rsidRPr="00F31524">
        <w:rPr>
          <w:lang w:val="pl-PL"/>
        </w:rPr>
        <w:t xml:space="preserve">0%; </w:t>
      </w:r>
    </w:p>
    <w:p w14:paraId="6750E1A7" w14:textId="08F19EAA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Blokada mechanizmu różnicowego; </w:t>
      </w:r>
    </w:p>
    <w:p w14:paraId="3358218E" w14:textId="0352835D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Układ hamulcowy wyposażony w system ABS; </w:t>
      </w:r>
    </w:p>
    <w:p w14:paraId="570C1176" w14:textId="0690254F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Układ antypoślizgowy ASR; </w:t>
      </w:r>
    </w:p>
    <w:p w14:paraId="09A38E9A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Komputer pokładowy; </w:t>
      </w:r>
    </w:p>
    <w:p w14:paraId="5B7A7790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Kabina kierowcy dzienna, 3-osobowa; </w:t>
      </w:r>
    </w:p>
    <w:p w14:paraId="34901F53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Kierownica po lewej stronie, regulowana w dwóch płaszczyznach; </w:t>
      </w:r>
    </w:p>
    <w:p w14:paraId="2A0500FA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Układ kierowniczy ze wspomaganiem; </w:t>
      </w:r>
    </w:p>
    <w:p w14:paraId="1DDF4E1C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Siedzenie kierowcy z zawieszeniem pneumatycznym; </w:t>
      </w:r>
    </w:p>
    <w:p w14:paraId="4A4CADEE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Klimatyzacja; </w:t>
      </w:r>
    </w:p>
    <w:p w14:paraId="3D4C56EE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Radio samochodowe; </w:t>
      </w:r>
    </w:p>
    <w:p w14:paraId="366DCE1A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Tachograf cyfrowy; </w:t>
      </w:r>
    </w:p>
    <w:p w14:paraId="05E42FCD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Kamera cofania; </w:t>
      </w:r>
    </w:p>
    <w:p w14:paraId="68D0689C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Zespolona lampa ostrzegawcza lub dwa światła ostrzegawcze (koguty) na dachu kabiny; </w:t>
      </w:r>
    </w:p>
    <w:p w14:paraId="21D6897D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>Międzyosiowe listwy zabezpieczające (</w:t>
      </w:r>
      <w:proofErr w:type="spellStart"/>
      <w:r w:rsidRPr="00F31524">
        <w:rPr>
          <w:lang w:val="pl-PL"/>
        </w:rPr>
        <w:t>antyrowerowe</w:t>
      </w:r>
      <w:proofErr w:type="spellEnd"/>
      <w:r w:rsidRPr="00F31524">
        <w:rPr>
          <w:lang w:val="pl-PL"/>
        </w:rPr>
        <w:t xml:space="preserve">); </w:t>
      </w:r>
    </w:p>
    <w:p w14:paraId="19CC9432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lastRenderedPageBreak/>
        <w:t>Ostrzegawczy sygnał dźwiękowy, włączany wraz z uruchomieniem biegu wstecznego;</w:t>
      </w:r>
    </w:p>
    <w:p w14:paraId="54046AA3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2 kliny pod koła; </w:t>
      </w:r>
    </w:p>
    <w:p w14:paraId="6DF1E821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Trójkąt ostrzegawczy; </w:t>
      </w:r>
    </w:p>
    <w:p w14:paraId="41625089" w14:textId="77777777" w:rsid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Gaśnica proszkowa min 2kg; </w:t>
      </w:r>
    </w:p>
    <w:p w14:paraId="6AEA336B" w14:textId="5B17F6C2" w:rsidR="00CB11D3" w:rsidRPr="00F31524" w:rsidRDefault="00000000" w:rsidP="00F31524">
      <w:pPr>
        <w:pStyle w:val="Akapitzlist"/>
        <w:numPr>
          <w:ilvl w:val="0"/>
          <w:numId w:val="11"/>
        </w:numPr>
        <w:rPr>
          <w:lang w:val="pl-PL"/>
        </w:rPr>
      </w:pPr>
      <w:r w:rsidRPr="00F31524">
        <w:rPr>
          <w:lang w:val="pl-PL"/>
        </w:rPr>
        <w:t xml:space="preserve">Klucz do kół; </w:t>
      </w:r>
    </w:p>
    <w:p w14:paraId="3438952A" w14:textId="77777777" w:rsidR="00CB11D3" w:rsidRPr="004E579C" w:rsidRDefault="00000000">
      <w:pPr>
        <w:rPr>
          <w:b/>
          <w:bCs/>
          <w:lang w:val="pl-PL"/>
        </w:rPr>
      </w:pPr>
      <w:r w:rsidRPr="004E579C">
        <w:rPr>
          <w:b/>
          <w:bCs/>
          <w:lang w:val="pl-PL"/>
        </w:rPr>
        <w:t xml:space="preserve">II. Zabudowa: </w:t>
      </w:r>
    </w:p>
    <w:p w14:paraId="79BF2CB1" w14:textId="37B8CB9B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Zabudowa skrzyniowa dwukomorowa z tylnym urządzeniem załadowczym przeznaczona do selektywnej zbiórki odpadów o łącznej pojemność komór min 20,0m3; </w:t>
      </w:r>
    </w:p>
    <w:p w14:paraId="36228A99" w14:textId="4048042F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Korpus skrzyni ładunkowej podzielony przegrodą wzdłuż w proporcji min. 70/30; </w:t>
      </w:r>
    </w:p>
    <w:p w14:paraId="662BD2A4" w14:textId="41CD111D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Urządzenia załadowcze współpracujące z pojemnikami o pojemności: 120-1100 litrów dla komory większej, 120-240 litrów dla komory mniejszej. </w:t>
      </w:r>
    </w:p>
    <w:p w14:paraId="3A3CCD39" w14:textId="248E10D6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Automatyczny system podchwytywania pojemników na obu </w:t>
      </w:r>
      <w:proofErr w:type="spellStart"/>
      <w:r w:rsidRPr="00F31524">
        <w:rPr>
          <w:lang w:val="pl-PL"/>
        </w:rPr>
        <w:t>wrzutnikach</w:t>
      </w:r>
      <w:proofErr w:type="spellEnd"/>
      <w:r w:rsidRPr="00F31524">
        <w:rPr>
          <w:lang w:val="pl-PL"/>
        </w:rPr>
        <w:t xml:space="preserve">; </w:t>
      </w:r>
    </w:p>
    <w:p w14:paraId="4999CFE9" w14:textId="23F0EF86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Obydwa </w:t>
      </w:r>
      <w:proofErr w:type="spellStart"/>
      <w:r w:rsidRPr="00F31524">
        <w:rPr>
          <w:lang w:val="pl-PL"/>
        </w:rPr>
        <w:t>wrzutniki</w:t>
      </w:r>
      <w:proofErr w:type="spellEnd"/>
      <w:r w:rsidRPr="00F31524">
        <w:rPr>
          <w:lang w:val="pl-PL"/>
        </w:rPr>
        <w:t xml:space="preserve"> obsługiwane z tej samej strony jednocześnie; </w:t>
      </w:r>
    </w:p>
    <w:p w14:paraId="2CC9ED12" w14:textId="3E3119AE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Skrzynie ładunkowe posiadające drzwi inspekcyjne; </w:t>
      </w:r>
    </w:p>
    <w:p w14:paraId="599893B2" w14:textId="3ECDF2DF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Terminal zabudowy wyposażony w program wykrywający usterki; </w:t>
      </w:r>
    </w:p>
    <w:p w14:paraId="4D66EA6E" w14:textId="22F6697C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Panele sterujące dla prasy i </w:t>
      </w:r>
      <w:proofErr w:type="spellStart"/>
      <w:r w:rsidRPr="00F31524">
        <w:rPr>
          <w:lang w:val="pl-PL"/>
        </w:rPr>
        <w:t>wrzutników</w:t>
      </w:r>
      <w:proofErr w:type="spellEnd"/>
      <w:r w:rsidRPr="00F31524">
        <w:rPr>
          <w:lang w:val="pl-PL"/>
        </w:rPr>
        <w:t xml:space="preserve"> po obu stronach zabudowy; </w:t>
      </w:r>
    </w:p>
    <w:p w14:paraId="003C64D7" w14:textId="041FC0E1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proofErr w:type="spellStart"/>
      <w:r w:rsidRPr="00F31524">
        <w:rPr>
          <w:lang w:val="pl-PL"/>
        </w:rPr>
        <w:t>Wrzutniki</w:t>
      </w:r>
      <w:proofErr w:type="spellEnd"/>
      <w:r w:rsidRPr="00F31524">
        <w:rPr>
          <w:lang w:val="pl-PL"/>
        </w:rPr>
        <w:t xml:space="preserve"> smarowane poprzez pompę centralnego smarowania; </w:t>
      </w:r>
    </w:p>
    <w:p w14:paraId="27F54EA5" w14:textId="7F4541C7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Uszczelnienie na całym obwodzie styku pomiędzy odwłokiem a skrzynią; </w:t>
      </w:r>
    </w:p>
    <w:p w14:paraId="08D6CED0" w14:textId="38EC7CB3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Wanny odwłoków wyposażone w zawory na odcieki; </w:t>
      </w:r>
    </w:p>
    <w:p w14:paraId="33C8AC46" w14:textId="6D822EF1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Dwa składane stopnie, oraz uchwyty dla załogi dające możliwość ograniczenia prędkości jazdy do 30km/h oraz uniemożliwianie manewru cofania pojazdu; </w:t>
      </w:r>
    </w:p>
    <w:p w14:paraId="3485C170" w14:textId="72851FAA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Oświetlenie tylne zgodne z przepisami ruchu drogowego obowiązującymi na terenie RP; </w:t>
      </w:r>
    </w:p>
    <w:p w14:paraId="0A5AAE85" w14:textId="18B6E39D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Światła robocze w i na zewnątrz odwłoka; </w:t>
      </w:r>
    </w:p>
    <w:p w14:paraId="53E5ED12" w14:textId="0A824AA9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Światła błyskowe zamontowane na odwłoku zabezpieczone koszem ochronnym; </w:t>
      </w:r>
    </w:p>
    <w:p w14:paraId="36C4B3B1" w14:textId="024CBF9D" w:rsidR="00CB11D3" w:rsidRPr="00F31524" w:rsidRDefault="00000000" w:rsidP="00F31524">
      <w:pPr>
        <w:pStyle w:val="Akapitzlist"/>
        <w:numPr>
          <w:ilvl w:val="0"/>
          <w:numId w:val="13"/>
        </w:numPr>
        <w:rPr>
          <w:lang w:val="pl-PL"/>
        </w:rPr>
      </w:pPr>
      <w:r w:rsidRPr="00F31524">
        <w:rPr>
          <w:lang w:val="pl-PL"/>
        </w:rPr>
        <w:t xml:space="preserve">Akustyczny sygnał ostrzegawczy o cofaniu; </w:t>
      </w:r>
    </w:p>
    <w:p w14:paraId="332E5336" w14:textId="77777777" w:rsidR="00CB11D3" w:rsidRPr="00F31524" w:rsidRDefault="00CB11D3">
      <w:pPr>
        <w:rPr>
          <w:lang w:val="pl-PL"/>
        </w:rPr>
      </w:pPr>
    </w:p>
    <w:p w14:paraId="133B0427" w14:textId="77777777" w:rsidR="00CB11D3" w:rsidRPr="004E579C" w:rsidRDefault="00000000">
      <w:pPr>
        <w:rPr>
          <w:b/>
          <w:bCs/>
          <w:lang w:val="pl-PL"/>
        </w:rPr>
      </w:pPr>
      <w:r w:rsidRPr="004E579C">
        <w:rPr>
          <w:b/>
          <w:bCs/>
          <w:lang w:val="pl-PL"/>
        </w:rPr>
        <w:t xml:space="preserve">III. Gwarancja: </w:t>
      </w:r>
    </w:p>
    <w:p w14:paraId="5A1B1539" w14:textId="49B93051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1. Okres gwarancji liczony od dnia przekazania pojazdu zamawiającemu i wynoszący: zabudowa minimum </w:t>
      </w:r>
      <w:r w:rsidR="00F31524">
        <w:rPr>
          <w:lang w:val="pl-PL"/>
        </w:rPr>
        <w:t>6</w:t>
      </w:r>
      <w:r w:rsidRPr="00F31524">
        <w:rPr>
          <w:lang w:val="pl-PL"/>
        </w:rPr>
        <w:t xml:space="preserve"> m-c, podwozie minimum </w:t>
      </w:r>
      <w:r w:rsidR="00F31524">
        <w:rPr>
          <w:lang w:val="pl-PL"/>
        </w:rPr>
        <w:t>6</w:t>
      </w:r>
      <w:r w:rsidRPr="00F31524">
        <w:rPr>
          <w:lang w:val="pl-PL"/>
        </w:rPr>
        <w:t xml:space="preserve"> m-c. </w:t>
      </w:r>
    </w:p>
    <w:p w14:paraId="5C0A095E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2. Wykonawca zapewnia bezpłatne serwisowanie przedmiotu umowy w okresie gwarancji; </w:t>
      </w:r>
    </w:p>
    <w:p w14:paraId="081636F0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3. Bezpłatne naprawy obejmują koszty wszystkich zużytych materiałów i części zamiennych a także koszty robocizny oraz naprawy bieżące, które nie wynikły z winy Zamawiającego; </w:t>
      </w:r>
    </w:p>
    <w:p w14:paraId="57465C38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4. Wykonawca zobowiązany jest w okresie trwania gwarancji: do naprawy wady fizycznej przedmiotu umowy, powstanie oraz usunięcie wad przedmiotu umowy, musi być potwierdzone protokolarnie. </w:t>
      </w:r>
    </w:p>
    <w:p w14:paraId="414CB1AD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lastRenderedPageBreak/>
        <w:t xml:space="preserve">5. O powstałych wadach i usterkach  przedmiotu umowy Zamawiający w celu realizacji przysługujących mu uprawnień  zawiadamia Wykonawcę: telefonicznie, pisemnie lub pocztą elektroniczną; </w:t>
      </w:r>
    </w:p>
    <w:p w14:paraId="364911D0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6. Wykonawca zobowiązany jest do bezpłatnego usunięcia wszelkich usterek powstałych lub ujawnionych w okresie trwania gwarancji; </w:t>
      </w:r>
    </w:p>
    <w:p w14:paraId="2C3D3BD8" w14:textId="77777777" w:rsidR="00CB11D3" w:rsidRPr="00F31524" w:rsidRDefault="00CB11D3">
      <w:pPr>
        <w:rPr>
          <w:lang w:val="pl-PL"/>
        </w:rPr>
      </w:pPr>
    </w:p>
    <w:p w14:paraId="442D9ACB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IV. Pozostałe wymagania: </w:t>
      </w:r>
    </w:p>
    <w:p w14:paraId="249848F8" w14:textId="77777777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1. Wykonawca przedłoży w trakcie odbioru komplet niezbędnych dokumentów do zarejestrowania pojazdu na terenie RP, </w:t>
      </w:r>
    </w:p>
    <w:p w14:paraId="0134292A" w14:textId="62BCCE82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2. </w:t>
      </w:r>
      <w:r w:rsidR="00F31524">
        <w:rPr>
          <w:lang w:val="pl-PL"/>
        </w:rPr>
        <w:t>Pojazd zostanie odebrany przez przedstawicieli ZGK Sp. z o.o. z odległości max. 350 km</w:t>
      </w:r>
      <w:r w:rsidR="009268BA">
        <w:rPr>
          <w:lang w:val="pl-PL"/>
        </w:rPr>
        <w:t xml:space="preserve"> od siedziby Zamawiającego.</w:t>
      </w:r>
      <w:r w:rsidRPr="00F31524">
        <w:rPr>
          <w:lang w:val="pl-PL"/>
        </w:rPr>
        <w:t xml:space="preserve"> </w:t>
      </w:r>
    </w:p>
    <w:p w14:paraId="491BE648" w14:textId="46722184" w:rsidR="00CB11D3" w:rsidRPr="00F31524" w:rsidRDefault="00000000">
      <w:pPr>
        <w:rPr>
          <w:lang w:val="pl-PL"/>
        </w:rPr>
      </w:pPr>
      <w:r w:rsidRPr="00F31524">
        <w:rPr>
          <w:lang w:val="pl-PL"/>
        </w:rPr>
        <w:t xml:space="preserve">3. Wykonawca w dniu </w:t>
      </w:r>
      <w:r w:rsidR="009268BA">
        <w:rPr>
          <w:lang w:val="pl-PL"/>
        </w:rPr>
        <w:t>odbioru</w:t>
      </w:r>
      <w:r w:rsidRPr="00F31524">
        <w:rPr>
          <w:lang w:val="pl-PL"/>
        </w:rPr>
        <w:t xml:space="preserve"> zobowiązany jest do przeprowadzeni nieodpłatnego szkolenia pracowników Zamawiającego (</w:t>
      </w:r>
      <w:r w:rsidR="009268BA">
        <w:rPr>
          <w:lang w:val="pl-PL"/>
        </w:rPr>
        <w:t>2-3</w:t>
      </w:r>
      <w:r w:rsidRPr="00F31524">
        <w:rPr>
          <w:lang w:val="pl-PL"/>
        </w:rPr>
        <w:t xml:space="preserve"> pracowników) z zakresu obsługi i eksploatacji pojazdu oraz zainstalowanych w nim urządzeń. </w:t>
      </w:r>
    </w:p>
    <w:p w14:paraId="4E5E3092" w14:textId="77777777" w:rsidR="00CB11D3" w:rsidRPr="00F31524" w:rsidRDefault="00CB11D3">
      <w:pPr>
        <w:rPr>
          <w:lang w:val="pl-PL"/>
        </w:rPr>
      </w:pPr>
    </w:p>
    <w:sectPr w:rsidR="00CB11D3" w:rsidRPr="00F315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456B44"/>
    <w:multiLevelType w:val="hybridMultilevel"/>
    <w:tmpl w:val="1D56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74CB1"/>
    <w:multiLevelType w:val="hybridMultilevel"/>
    <w:tmpl w:val="E31A1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350BF"/>
    <w:multiLevelType w:val="hybridMultilevel"/>
    <w:tmpl w:val="93DCE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841EB"/>
    <w:multiLevelType w:val="hybridMultilevel"/>
    <w:tmpl w:val="46B88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51">
    <w:abstractNumId w:val="8"/>
  </w:num>
  <w:num w:numId="2" w16cid:durableId="346293262">
    <w:abstractNumId w:val="6"/>
  </w:num>
  <w:num w:numId="3" w16cid:durableId="1167280391">
    <w:abstractNumId w:val="5"/>
  </w:num>
  <w:num w:numId="4" w16cid:durableId="668555318">
    <w:abstractNumId w:val="4"/>
  </w:num>
  <w:num w:numId="5" w16cid:durableId="1297686721">
    <w:abstractNumId w:val="7"/>
  </w:num>
  <w:num w:numId="6" w16cid:durableId="774594716">
    <w:abstractNumId w:val="3"/>
  </w:num>
  <w:num w:numId="7" w16cid:durableId="1039474469">
    <w:abstractNumId w:val="2"/>
  </w:num>
  <w:num w:numId="8" w16cid:durableId="847134778">
    <w:abstractNumId w:val="1"/>
  </w:num>
  <w:num w:numId="9" w16cid:durableId="1370885322">
    <w:abstractNumId w:val="0"/>
  </w:num>
  <w:num w:numId="10" w16cid:durableId="1458525997">
    <w:abstractNumId w:val="10"/>
  </w:num>
  <w:num w:numId="11" w16cid:durableId="321013210">
    <w:abstractNumId w:val="9"/>
  </w:num>
  <w:num w:numId="12" w16cid:durableId="343018381">
    <w:abstractNumId w:val="12"/>
  </w:num>
  <w:num w:numId="13" w16cid:durableId="186262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7B5"/>
    <w:rsid w:val="0015074B"/>
    <w:rsid w:val="00184B5A"/>
    <w:rsid w:val="0029639D"/>
    <w:rsid w:val="00326F90"/>
    <w:rsid w:val="004E579C"/>
    <w:rsid w:val="009268BA"/>
    <w:rsid w:val="00AA1D8D"/>
    <w:rsid w:val="00B47730"/>
    <w:rsid w:val="00BB1A12"/>
    <w:rsid w:val="00BE4BD5"/>
    <w:rsid w:val="00CB0664"/>
    <w:rsid w:val="00CB11D3"/>
    <w:rsid w:val="00F315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4ABE5"/>
  <w14:defaultImageDpi w14:val="300"/>
  <w15:docId w15:val="{3B65D45F-E6DD-4DBA-8170-F8A137CD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Kinga Koprowska</cp:lastModifiedBy>
  <cp:revision>4</cp:revision>
  <dcterms:created xsi:type="dcterms:W3CDTF">2025-09-24T09:34:00Z</dcterms:created>
  <dcterms:modified xsi:type="dcterms:W3CDTF">2025-09-26T09:15:00Z</dcterms:modified>
  <cp:category/>
</cp:coreProperties>
</file>